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DEB8" w14:textId="77777777" w:rsidR="00F6302F" w:rsidRPr="00CF708D" w:rsidRDefault="00F6302F" w:rsidP="00F6302F">
      <w:pPr>
        <w:jc w:val="right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Príručka č. 14</w:t>
      </w:r>
    </w:p>
    <w:p w14:paraId="6E76E69F" w14:textId="77777777" w:rsidR="00F6302F" w:rsidRPr="00CF708D" w:rsidRDefault="00F6302F" w:rsidP="007D082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627A614A" w14:textId="77777777" w:rsidR="00F6302F" w:rsidRPr="00CF708D" w:rsidRDefault="00F6302F" w:rsidP="007D082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0BF333B8" w14:textId="26D8B07B" w:rsidR="002F560C" w:rsidRPr="00CF708D" w:rsidRDefault="007D082B" w:rsidP="002F560C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Poučenie o spracúvan</w:t>
      </w:r>
      <w:r w:rsidR="00744E49" w:rsidRPr="00CF708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í osobných údajov </w:t>
      </w:r>
    </w:p>
    <w:p w14:paraId="0C13D989" w14:textId="09CD99A5" w:rsidR="00CC22A5" w:rsidRPr="00CF708D" w:rsidRDefault="00CC22A5" w:rsidP="007D082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708D1F61" w14:textId="22F06F4A" w:rsidR="00CC22A5" w:rsidRPr="00CF708D" w:rsidRDefault="000637C3" w:rsidP="007F104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Prevádzkovateľ</w:t>
      </w:r>
    </w:p>
    <w:p w14:paraId="57C132C0" w14:textId="0FC2A6E2" w:rsidR="004C04B3" w:rsidRPr="00CF708D" w:rsidRDefault="00107008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Názov: Ministerstvo práce, sociálnych vecí a rodiny</w:t>
      </w:r>
      <w:r w:rsidR="004C04B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S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lovenskej republiky</w:t>
      </w:r>
    </w:p>
    <w:p w14:paraId="02257D14" w14:textId="77777777" w:rsidR="00CF708D" w:rsidRDefault="00107008" w:rsidP="00CF708D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Sídlo: Špitálska 4, 6, 8, 816 43 Bratislava</w:t>
      </w:r>
    </w:p>
    <w:p w14:paraId="6F990A36" w14:textId="5F9A33E4" w:rsidR="009A410F" w:rsidRPr="00CF708D" w:rsidRDefault="00107008" w:rsidP="00CF708D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IČO: 00681156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cr/>
      </w:r>
      <w:r w:rsidR="009A410F">
        <w:rPr>
          <w:rFonts w:ascii="Arial" w:hAnsi="Arial" w:cs="Arial"/>
          <w:color w:val="404040" w:themeColor="text1" w:themeTint="BF"/>
          <w:sz w:val="20"/>
          <w:szCs w:val="20"/>
        </w:rPr>
        <w:t xml:space="preserve">(ďalej len </w:t>
      </w:r>
      <w:r w:rsidR="009A410F"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>„prevádzkovateľ“</w:t>
      </w:r>
      <w:r w:rsidR="009A410F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007E949D" w14:textId="1A74BA4D" w:rsidR="004C04B3" w:rsidRPr="00CF708D" w:rsidRDefault="004C04B3" w:rsidP="00CF708D">
      <w:pPr>
        <w:spacing w:before="24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Sprostredkovateľ</w:t>
      </w:r>
    </w:p>
    <w:p w14:paraId="70F9B86F" w14:textId="77777777" w:rsidR="007D082B" w:rsidRPr="00CF708D" w:rsidRDefault="00CC22A5" w:rsidP="00D17DEB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Názov:</w:t>
      </w:r>
      <w:r w:rsidR="00EC3AD2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D082B" w:rsidRPr="00CF708D">
        <w:rPr>
          <w:rFonts w:ascii="Arial" w:hAnsi="Arial" w:cs="Arial"/>
          <w:color w:val="404040" w:themeColor="text1" w:themeTint="BF"/>
          <w:sz w:val="20"/>
          <w:szCs w:val="20"/>
        </w:rPr>
        <w:t>Implementačná agentúra Ministers</w:t>
      </w:r>
      <w:r w:rsidR="007F1046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tva práce, sociálnych vecí a </w:t>
      </w:r>
      <w:r w:rsidR="007D082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rodiny Slovenskej republiky </w:t>
      </w:r>
    </w:p>
    <w:p w14:paraId="37255F41" w14:textId="77777777" w:rsidR="00CC22A5" w:rsidRPr="00CF708D" w:rsidRDefault="00CC22A5" w:rsidP="00D17DEB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Sídlo:</w:t>
      </w:r>
      <w:r w:rsidR="007D082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Špitálska 6, 814 55 Bratislava</w:t>
      </w:r>
      <w:r w:rsidR="00EC3AD2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FC40DDE" w14:textId="77777777" w:rsidR="00CC22A5" w:rsidRPr="00CF708D" w:rsidRDefault="00CC22A5" w:rsidP="00744E49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IČO:</w:t>
      </w:r>
      <w:r w:rsidR="007F1046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F1046" w:rsidRPr="00CF708D">
        <w:rPr>
          <w:rFonts w:ascii="Arial" w:hAnsi="Arial" w:cs="Arial"/>
          <w:color w:val="404040" w:themeColor="text1" w:themeTint="BF"/>
          <w:sz w:val="20"/>
          <w:szCs w:val="20"/>
        </w:rPr>
        <w:t>30854687</w:t>
      </w:r>
    </w:p>
    <w:p w14:paraId="0F54BB8B" w14:textId="77777777" w:rsidR="00D17DEB" w:rsidRPr="00CF708D" w:rsidRDefault="00D17DEB" w:rsidP="00744E49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V mene ktorého koná: Ing. Andrej Svitáč, generálny riaditeľ</w:t>
      </w:r>
    </w:p>
    <w:p w14:paraId="40AB7852" w14:textId="185B7FF2" w:rsidR="00744E49" w:rsidRPr="00CF708D" w:rsidRDefault="00777B22" w:rsidP="007F104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(ďalej len </w:t>
      </w:r>
      <w:r w:rsidRPr="00CF708D">
        <w:rPr>
          <w:rFonts w:ascii="Arial" w:hAnsi="Arial" w:cs="Arial"/>
          <w:i/>
          <w:color w:val="404040" w:themeColor="text1" w:themeTint="BF"/>
          <w:sz w:val="20"/>
          <w:szCs w:val="20"/>
        </w:rPr>
        <w:t>„</w:t>
      </w:r>
      <w:r w:rsidR="004C04B3" w:rsidRPr="00CF708D">
        <w:rPr>
          <w:rFonts w:ascii="Arial" w:hAnsi="Arial" w:cs="Arial"/>
          <w:i/>
          <w:color w:val="404040" w:themeColor="text1" w:themeTint="BF"/>
          <w:sz w:val="20"/>
          <w:szCs w:val="20"/>
        </w:rPr>
        <w:t>sprostredkovateľ</w:t>
      </w:r>
      <w:r w:rsidRPr="00CF708D">
        <w:rPr>
          <w:rFonts w:ascii="Arial" w:hAnsi="Arial" w:cs="Arial"/>
          <w:i/>
          <w:color w:val="404040" w:themeColor="text1" w:themeTint="BF"/>
          <w:sz w:val="20"/>
          <w:szCs w:val="20"/>
        </w:rPr>
        <w:t>“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0B1BD51C" w14:textId="741B714E" w:rsidR="004C04B3" w:rsidRPr="00CF708D" w:rsidRDefault="004C04B3" w:rsidP="007F104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Sprostredkovateľ</w:t>
      </w:r>
    </w:p>
    <w:p w14:paraId="22638FEA" w14:textId="41252AF0" w:rsidR="004C04B3" w:rsidRPr="00CF708D" w:rsidRDefault="004C04B3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Zapojený subjekt</w:t>
      </w:r>
    </w:p>
    <w:p w14:paraId="387B99AC" w14:textId="1775F201" w:rsidR="004C04B3" w:rsidRPr="00CF708D" w:rsidRDefault="004C04B3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Názov: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</w:p>
    <w:p w14:paraId="78C32642" w14:textId="22D1C2A4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Sídlo: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</w:p>
    <w:p w14:paraId="719FBCD1" w14:textId="6424E2D8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IČO: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81B8E19" w14:textId="50F7F5E0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V mene ktorého koná: </w:t>
      </w:r>
    </w:p>
    <w:p w14:paraId="212166EC" w14:textId="77777777" w:rsidR="004C04B3" w:rsidRPr="00CF708D" w:rsidRDefault="004C04B3" w:rsidP="004C04B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(ďalej len </w:t>
      </w:r>
      <w:r w:rsidRPr="00CF708D">
        <w:rPr>
          <w:rFonts w:ascii="Arial" w:hAnsi="Arial" w:cs="Arial"/>
          <w:i/>
          <w:color w:val="404040" w:themeColor="text1" w:themeTint="BF"/>
          <w:sz w:val="20"/>
          <w:szCs w:val="20"/>
        </w:rPr>
        <w:t>„sprostredkovateľ“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0D33BDCE" w14:textId="797B8652" w:rsidR="007F1046" w:rsidRPr="00CF708D" w:rsidRDefault="007F1046" w:rsidP="007F104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Dotknutá osoba </w:t>
      </w:r>
      <w:r w:rsidR="009A410F">
        <w:rPr>
          <w:rFonts w:ascii="Arial" w:hAnsi="Arial" w:cs="Arial"/>
          <w:color w:val="404040" w:themeColor="text1" w:themeTint="BF"/>
          <w:sz w:val="20"/>
          <w:szCs w:val="20"/>
        </w:rPr>
        <w:t>je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osoba, ktorej osobné údaje sú spracúvané alebo ktorej sa spracúvané osobné údaje týkajú.</w:t>
      </w:r>
    </w:p>
    <w:p w14:paraId="15053D6A" w14:textId="77777777" w:rsidR="007F1046" w:rsidRPr="00CF708D" w:rsidRDefault="007F104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lastRenderedPageBreak/>
        <w:t>Spracúvanie osobných údajov</w:t>
      </w:r>
    </w:p>
    <w:p w14:paraId="592CF62E" w14:textId="211AC5C4" w:rsidR="00CF708D" w:rsidRDefault="007F1046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Plnenie úloh implementácie Národného projektu</w:t>
      </w:r>
      <w:r w:rsidR="00F01BE1">
        <w:rPr>
          <w:rFonts w:ascii="Arial" w:hAnsi="Arial" w:cs="Arial"/>
          <w:color w:val="404040" w:themeColor="text1" w:themeTint="BF"/>
          <w:sz w:val="20"/>
          <w:szCs w:val="20"/>
        </w:rPr>
        <w:t xml:space="preserve"> Terénna sociálna práca a komunitné centrá (ďalej aj ako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01BE1"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„NP </w:t>
      </w:r>
      <w:r w:rsidR="002F2A76">
        <w:rPr>
          <w:rFonts w:ascii="Arial" w:hAnsi="Arial" w:cs="Arial"/>
          <w:i/>
          <w:color w:val="404040" w:themeColor="text1" w:themeTint="BF"/>
          <w:sz w:val="20"/>
          <w:szCs w:val="20"/>
        </w:rPr>
        <w:t>TSP a KC</w:t>
      </w:r>
      <w:r w:rsidR="00F01BE1"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>“</w:t>
      </w:r>
      <w:r w:rsidR="00F01BE1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je </w:t>
      </w:r>
      <w:r w:rsidR="00F72EAD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úzko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späté s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získavaním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spracúvaním osobných údajov dotknutých osôb.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Osobné údaje dotkn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utých osôb sú prevádzkovateľom/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sprostredkovateľom spracúvané </w:t>
      </w:r>
      <w:r w:rsidR="00CF708D" w:rsidRPr="00CF708D">
        <w:rPr>
          <w:rFonts w:ascii="Arial" w:hAnsi="Arial" w:cs="Arial"/>
          <w:color w:val="404040" w:themeColor="text1" w:themeTint="BF"/>
          <w:sz w:val="20"/>
          <w:szCs w:val="20"/>
        </w:rPr>
        <w:t>v rozsahu nevyhnutnom na plnenie zákonných povinností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7195EE1F" w14:textId="77777777" w:rsidR="002F560C" w:rsidRDefault="002F560C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41DC3A1" w14:textId="356A1B4B" w:rsidR="007F1046" w:rsidRPr="00CF708D" w:rsidRDefault="007F104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highlight w:val="yellow"/>
        </w:rPr>
      </w:pP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>Účel spracúvania osobných údajov</w:t>
      </w:r>
      <w:r w:rsidR="00283557"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0BC593D4" w14:textId="3E9FB8F0" w:rsidR="008905A0" w:rsidRDefault="00CC22A5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Prevádzkovateľ 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a sprostredkovateľ 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>v informačnom systéme ITMS 2014+ spracúva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jú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</w:t>
      </w:r>
      <w:r w:rsidR="00EC3AD2" w:rsidRPr="00283557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zamestnanca, za účelom</w:t>
      </w:r>
      <w:r w:rsidR="00431A9D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plnenia úloh implementácie 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NP TSP a KC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431A9D" w:rsidRPr="00283557">
        <w:rPr>
          <w:rFonts w:ascii="Arial" w:hAnsi="Arial" w:cs="Arial"/>
          <w:color w:val="404040" w:themeColor="text1" w:themeTint="BF"/>
          <w:sz w:val="20"/>
          <w:szCs w:val="20"/>
        </w:rPr>
        <w:t>sledovania merateľných ukazovateľov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a sledovania ďalších</w:t>
      </w:r>
      <w:r w:rsidR="00B03374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údajov o cieľovej skupine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>, kto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ré sú</w:t>
      </w:r>
      <w:r w:rsidR="00241D77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povinne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zaznamenávané </w:t>
      </w:r>
      <w:r w:rsidR="00241D77" w:rsidRPr="00283557">
        <w:rPr>
          <w:rFonts w:ascii="Arial" w:hAnsi="Arial" w:cs="Arial"/>
          <w:color w:val="404040" w:themeColor="text1" w:themeTint="BF"/>
          <w:sz w:val="20"/>
          <w:szCs w:val="20"/>
        </w:rPr>
        <w:t>vo výročnej správe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2A33FCE" w14:textId="05C4F0C5" w:rsidR="008A13F8" w:rsidRPr="00CF708D" w:rsidRDefault="009A410F" w:rsidP="008A13F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Prevádzkovateľ a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Sprostredkovateľ zároveň spracúva</w:t>
      </w:r>
      <w:r>
        <w:rPr>
          <w:rFonts w:ascii="Arial" w:hAnsi="Arial" w:cs="Arial"/>
          <w:color w:val="404040" w:themeColor="text1" w:themeTint="BF"/>
          <w:sz w:val="20"/>
          <w:szCs w:val="20"/>
        </w:rPr>
        <w:t>jú</w:t>
      </w:r>
      <w:r w:rsidR="008A13F8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 w:rsidR="008A13F8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zamestnanca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uvedené v</w:t>
      </w:r>
      <w:r>
        <w:rPr>
          <w:rFonts w:ascii="Arial" w:hAnsi="Arial" w:cs="Arial"/>
          <w:color w:val="404040" w:themeColor="text1" w:themeTint="BF"/>
          <w:sz w:val="20"/>
          <w:szCs w:val="20"/>
        </w:rPr>
        <w:t> rozsahu spracúvaných údajov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v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bod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č. 5 a č.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pre účel implementácie odborných aktivít 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NP TSP a KC</w:t>
      </w:r>
      <w:bookmarkStart w:id="0" w:name="_GoBack"/>
      <w:bookmarkEnd w:id="0"/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(napríklad výcviky, odborné workshopy a pod.).</w:t>
      </w:r>
    </w:p>
    <w:p w14:paraId="300E7958" w14:textId="77777777" w:rsidR="00664126" w:rsidRPr="00CF708D" w:rsidRDefault="0066412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Právny základ spracúvania osobných údajov:</w:t>
      </w:r>
    </w:p>
    <w:p w14:paraId="3651EF73" w14:textId="773B4171" w:rsidR="00664126" w:rsidRPr="00CF708D" w:rsidRDefault="007B4BBD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664126" w:rsidRPr="00CF708D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005BD763" w14:textId="77777777" w:rsidR="00664126" w:rsidRPr="00CF708D" w:rsidRDefault="00664126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zákon č. 121/2022 Z. z. o príspevkoch z fondov Európskej únie a o zmene a doplnení niektorých zákonov,</w:t>
      </w:r>
    </w:p>
    <w:p w14:paraId="5E62A4D0" w14:textId="451950BD" w:rsidR="00664126" w:rsidRPr="00CF708D" w:rsidRDefault="007B4BBD" w:rsidP="00CC5733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zákon č. 18/2018 Z. z. o ochrane osobných údajov a o zmene a doplnení niektorých zákonov</w:t>
      </w:r>
      <w:r w:rsidR="00022402" w:rsidRPr="00CF708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0959B415" w14:textId="77777777" w:rsidR="00CC22A5" w:rsidRPr="00CF708D" w:rsidRDefault="005C5561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Rozsah spracúvania osobných údajov</w:t>
      </w:r>
    </w:p>
    <w:p w14:paraId="515E366F" w14:textId="7242BB99" w:rsidR="009E3726" w:rsidRPr="00CF708D" w:rsidRDefault="005E5352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Prevádzko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vateľ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 sprostredkovateľ 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>zhromažďuje a spracúva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v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rozsahu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65B31FE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Pracovná pozícia</w:t>
      </w:r>
    </w:p>
    <w:p w14:paraId="1399A5CF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Meno</w:t>
      </w:r>
    </w:p>
    <w:p w14:paraId="087AA316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Priezvisko</w:t>
      </w:r>
    </w:p>
    <w:p w14:paraId="63CF2EE6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Rodné číslo</w:t>
      </w:r>
    </w:p>
    <w:p w14:paraId="4691BF3F" w14:textId="1B92D3BD" w:rsidR="008905A0" w:rsidRDefault="008905A0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Dátum narodenia</w:t>
      </w:r>
    </w:p>
    <w:p w14:paraId="1E471854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e-mailová adresa</w:t>
      </w:r>
    </w:p>
    <w:p w14:paraId="287D2223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telefónne číslo</w:t>
      </w:r>
    </w:p>
    <w:p w14:paraId="24790A5E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Najvyššie dosiahnuté vzdelanie </w:t>
      </w:r>
    </w:p>
    <w:p w14:paraId="528F7404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Zamestnanecké postavenie </w:t>
      </w:r>
    </w:p>
    <w:p w14:paraId="64629C4F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Znevýhodnenie v rozsahu: </w:t>
      </w:r>
    </w:p>
    <w:p w14:paraId="36138141" w14:textId="12F4A86C" w:rsidR="00B03374" w:rsidRPr="00CF708D" w:rsidRDefault="007B4BBD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igrant, účastník s cudzím pôvodom, príslušník menšiny (vrátane marginalizovaných komunít ako sú napríklad Rómovia, </w:t>
      </w:r>
    </w:p>
    <w:p w14:paraId="25526C70" w14:textId="42063352" w:rsidR="00B03374" w:rsidRDefault="007B4BBD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dravotné  postihnutie, </w:t>
      </w:r>
    </w:p>
    <w:p w14:paraId="7A1B008A" w14:textId="76BF2790" w:rsidR="008A13F8" w:rsidRPr="00CF708D" w:rsidRDefault="008A13F8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osoba 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>trpiac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materiálnou depriváciou, žijúc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pod hranicou chudoby (podľa prieskumu ŠÚ SR), bezdomov</w:t>
      </w:r>
      <w:r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>c alebo osob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postihnut</w:t>
      </w:r>
      <w:r>
        <w:rPr>
          <w:rFonts w:ascii="Arial" w:hAnsi="Arial" w:cs="Arial"/>
          <w:color w:val="404040" w:themeColor="text1" w:themeTint="BF"/>
          <w:sz w:val="20"/>
          <w:szCs w:val="20"/>
        </w:rPr>
        <w:t>á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vylúčením z bývania a osob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>, ktor</w:t>
      </w:r>
      <w:r>
        <w:rPr>
          <w:rFonts w:ascii="Arial" w:hAnsi="Arial" w:cs="Arial"/>
          <w:color w:val="404040" w:themeColor="text1" w:themeTint="BF"/>
          <w:sz w:val="20"/>
          <w:szCs w:val="20"/>
        </w:rPr>
        <w:t>á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nedosiahl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základné vzdelanie, avšak už prekročila vekovú hranicu počas ktorej sa dosahuje základné vzdelanie (ISCED - 1)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A164026" w14:textId="77777777" w:rsidR="00B03374" w:rsidRPr="00CF708D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Ďalšie údaje pri výstupe:</w:t>
      </w:r>
    </w:p>
    <w:p w14:paraId="52A7D502" w14:textId="6335875A" w:rsidR="00B03374" w:rsidRPr="00CF708D" w:rsidRDefault="007B4BBD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e v procese vzdelávania/odbornej prípravy, </w:t>
      </w:r>
    </w:p>
    <w:p w14:paraId="0BA39A73" w14:textId="011F9FD0" w:rsidR="00B03374" w:rsidRPr="00CF708D" w:rsidRDefault="007B4BBD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ískava kvalifikáciu.</w:t>
      </w:r>
    </w:p>
    <w:p w14:paraId="3BCF472B" w14:textId="65CE9C8F" w:rsidR="001E71B9" w:rsidRPr="00CF708D" w:rsidRDefault="001E71B9" w:rsidP="007B4BBD">
      <w:pPr>
        <w:spacing w:before="24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Dotknutá osoba má právo odmietnuť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poskytnúť osobné údaje 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uvedené v bode</w:t>
      </w:r>
      <w:r w:rsidR="00F03DAB">
        <w:rPr>
          <w:rFonts w:ascii="Arial" w:hAnsi="Arial" w:cs="Arial"/>
          <w:color w:val="404040" w:themeColor="text1" w:themeTint="BF"/>
          <w:sz w:val="20"/>
          <w:szCs w:val="20"/>
        </w:rPr>
        <w:t xml:space="preserve"> 10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. Toto právo je viazané na doručenie vyplneného a podpísaného formuláru „Príloha 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Príručky pre zapojené subjekty,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č.11 - Záznam o odmietnutí poskytnutia údajov o účastníkovi projektu“.</w:t>
      </w:r>
    </w:p>
    <w:p w14:paraId="45555410" w14:textId="39672BEC" w:rsidR="005E5352" w:rsidRPr="00CF708D" w:rsidRDefault="00B51CB7" w:rsidP="007909B2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Doba </w:t>
      </w:r>
      <w:r w:rsidR="007717C4"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uchovávania </w:t>
      </w: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>osobných údajov</w:t>
      </w:r>
      <w:r w:rsidR="007B4BBD"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7586CEAA" w14:textId="283E30D1" w:rsidR="00B51BEC" w:rsidRPr="00CF708D" w:rsidRDefault="005E5352" w:rsidP="00EF1120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Osobné údaje sú spracúvané</w:t>
      </w:r>
      <w:r w:rsidR="007717C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a uchovávané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t>po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čas doby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implementácie 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NO TSP a KC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477C5" w:rsidRPr="00CF708D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B51BEC" w:rsidRPr="00CF708D">
        <w:rPr>
          <w:rFonts w:ascii="Arial" w:hAnsi="Arial" w:cs="Arial"/>
          <w:color w:val="404040" w:themeColor="text1" w:themeTint="BF"/>
          <w:sz w:val="20"/>
          <w:szCs w:val="20"/>
        </w:rPr>
        <w:t> len po dobu nevyhnutnú na splnenie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účelov,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F560C">
        <w:rPr>
          <w:rFonts w:ascii="Arial" w:hAnsi="Arial" w:cs="Arial"/>
          <w:color w:val="404040" w:themeColor="text1" w:themeTint="BF"/>
          <w:sz w:val="20"/>
          <w:szCs w:val="20"/>
        </w:rPr>
        <w:t>najdlhšie však</w:t>
      </w:r>
      <w:r w:rsidR="0034667B">
        <w:rPr>
          <w:rFonts w:ascii="Arial" w:hAnsi="Arial" w:cs="Arial"/>
          <w:color w:val="404040" w:themeColor="text1" w:themeTint="BF"/>
          <w:sz w:val="20"/>
          <w:szCs w:val="20"/>
        </w:rPr>
        <w:t xml:space="preserve"> do </w:t>
      </w:r>
      <w:r w:rsidR="0034667B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31.12.2039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.  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cr/>
      </w:r>
    </w:p>
    <w:p w14:paraId="7914502B" w14:textId="58EAD12B" w:rsidR="00B51BEC" w:rsidRPr="00283557" w:rsidRDefault="00B51BEC" w:rsidP="00EF1120">
      <w:pPr>
        <w:spacing w:after="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Subjekty majúce prístup k osobným </w:t>
      </w:r>
      <w:r w:rsidR="000637C3"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>údajom</w:t>
      </w:r>
      <w:r w:rsidR="00283557"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1B547610" w14:textId="77777777" w:rsidR="00B51CB7" w:rsidRPr="00CF708D" w:rsidRDefault="00B51BEC" w:rsidP="00B51BE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K osobným údajom dotknutej osoby majú prístup tretie osoby na základe platných právnych predpisov</w:t>
      </w:r>
      <w:r w:rsidRPr="00CF708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(napr. kontrolné orgány, orgány auditu).</w:t>
      </w:r>
    </w:p>
    <w:p w14:paraId="124201C8" w14:textId="491EBAE1" w:rsidR="00B51BEC" w:rsidRPr="00283557" w:rsidRDefault="00B51BEC" w:rsidP="00B51BE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>Prenos osobných údajov do zahraničia</w:t>
      </w:r>
      <w:r w:rsidR="00283557" w:rsidRPr="00283557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 xml:space="preserve"> </w:t>
      </w:r>
    </w:p>
    <w:p w14:paraId="094B1174" w14:textId="77777777" w:rsidR="00B51BEC" w:rsidRPr="00CF708D" w:rsidRDefault="00B51BEC" w:rsidP="00B51BE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Osobné údaje </w:t>
      </w:r>
      <w:r w:rsidR="00CC5733"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nebudú prenesené do zahraničia.</w:t>
      </w:r>
    </w:p>
    <w:p w14:paraId="1FE940AC" w14:textId="77777777" w:rsidR="00161EE7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Práva dotknutej osoby v súvislosti so spracúvaním osobných </w:t>
      </w:r>
      <w:r w:rsidR="000637C3"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údajov</w:t>
      </w:r>
    </w:p>
    <w:p w14:paraId="5262BC6F" w14:textId="5E685C22" w:rsidR="00CC5733" w:rsidRPr="00CF708D" w:rsidRDefault="00CC5733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Ochrana osobných údajov </w:t>
      </w:r>
      <w:r w:rsidRPr="00CF708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sa spravuje ustanoveniami N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>ariadenia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európskeho parlamentu a rady (EÚ) 2016/679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z 27. apríla 2016 o ochrane fyzických osôb pri spracúvaní osobných údajov a o voľnom pohybe takýchto údajov, ktorým sa zrušuje smernica 95/46/ES (všeobecné nariadenie o ochrane údajov) a zákonom č. 18/2018 Z. z. o ochrane osobných údajov a o zmene a doplnení niektorých zákonov. </w:t>
      </w:r>
    </w:p>
    <w:p w14:paraId="4DFB6418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opravu osobných údajov</w:t>
      </w:r>
    </w:p>
    <w:p w14:paraId="403BDDB6" w14:textId="3F525B61" w:rsidR="00CC5733" w:rsidRPr="00CF708D" w:rsidRDefault="00A34552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Dotknutá osoba má právo na to, aby prevádzkovateľ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bez zbytočného odkladu opravil nesprávne osobné údaje, ktoré sa jej týkajú. </w:t>
      </w:r>
    </w:p>
    <w:p w14:paraId="53B565A9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výmaz osobných údajov</w:t>
      </w:r>
    </w:p>
    <w:p w14:paraId="7109D65D" w14:textId="6F36D34E" w:rsidR="00CC5733" w:rsidRPr="00CF708D" w:rsidRDefault="00A34552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Prevádzkovateľ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sprostredkovateľ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dotknutej osoby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bez zbytočného odkladu vymaže, ak osobné údaje už nie sú potrebné na účel, na ktorý sa získali alebo inak spracúvali, ak sa osobné údaje spracúvajú nezákonne,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alebo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ak je dôvodom na výmaz osobných údajov splnenie zákonnej povinnosti.</w:t>
      </w:r>
    </w:p>
    <w:p w14:paraId="74F427BF" w14:textId="77777777" w:rsidR="00E262DD" w:rsidRDefault="00E262DD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55A5ADF7" w14:textId="77777777" w:rsidR="00E262DD" w:rsidRDefault="00E262DD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62276D5A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obmedzenie spracúvania osobných údajov</w:t>
      </w:r>
    </w:p>
    <w:p w14:paraId="1D9AF5D5" w14:textId="2AD6DA9E" w:rsidR="00CC5733" w:rsidRPr="00CF708D" w:rsidRDefault="0074161E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Dotknutá osoba má právo 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na to, aby prevádzkovateľ/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obmedzil spracúvanie osobných údajov, ak namieta správnosť osobných údajov, spracúvanie osobných údajov je nezákonné, prevádzkovateľ už osobné údaje na účel spracúvania osobných údajov nepotrebuje.</w:t>
      </w:r>
    </w:p>
    <w:p w14:paraId="5CD5A194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prenosnosť osobných údajov</w:t>
      </w:r>
    </w:p>
    <w:p w14:paraId="0AA48342" w14:textId="77777777" w:rsidR="00CC5733" w:rsidRPr="00CF708D" w:rsidRDefault="00EF1120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Dotknutá osoba má právo získať od prevádzkovateľa svoje osobné údaje, ktoré prevádzkovateľovi poskytla.</w:t>
      </w:r>
    </w:p>
    <w:p w14:paraId="22B3689B" w14:textId="77777777" w:rsidR="00EF1120" w:rsidRPr="00CF708D" w:rsidRDefault="00EF1120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V prípade, ak sa dotknutá osoba domnieva, že jej práva boli pri spracúvaní osobných údajov porušené, resp. osobné údaje nie sú spracúvané za takým účelom alebo v takom rozsahu ako bolo uvedené, má právo obrátiť sa na Úrad pre ochranu osobných údajov, so sídlom Hraničná 12, 820 07 Bratislava.</w:t>
      </w:r>
    </w:p>
    <w:p w14:paraId="17C2A96B" w14:textId="793DA8CD" w:rsidR="00CC5733" w:rsidRPr="00CF708D" w:rsidRDefault="00EF1120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Ak chce dotknutá osoba</w:t>
      </w:r>
      <w:r w:rsidR="00CC573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vykonať niektoré zo svojich práv v oblasti osobných úda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jov, môže tak urobiť zaslaním </w:t>
      </w:r>
      <w:r w:rsidR="00CC573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emailu na </w:t>
      </w:r>
      <w:hyperlink r:id="rId8" w:history="1">
        <w:r w:rsidR="00744E49" w:rsidRPr="00CF708D">
          <w:rPr>
            <w:rStyle w:val="Hypertextovprepojenie"/>
            <w:rFonts w:ascii="Arial" w:hAnsi="Arial" w:cs="Arial"/>
            <w:color w:val="404040" w:themeColor="text1" w:themeTint="BF"/>
            <w:sz w:val="20"/>
            <w:szCs w:val="20"/>
            <w:shd w:val="clear" w:color="auto" w:fill="FFFFFF"/>
          </w:rPr>
          <w:t>zodpovednaosoba@ia.gov.sk</w:t>
        </w:r>
      </w:hyperlink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2EB4DD81" w14:textId="77777777" w:rsidR="00EF1120" w:rsidRPr="00CF708D" w:rsidRDefault="00EF1120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BA26E69" w14:textId="77777777" w:rsidR="00161EE7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Poučená dotknutá osoba (t</w:t>
      </w:r>
      <w:r w:rsidR="00B51CB7" w:rsidRPr="00CF708D">
        <w:rPr>
          <w:rFonts w:ascii="Arial" w:hAnsi="Arial" w:cs="Arial"/>
          <w:color w:val="404040" w:themeColor="text1" w:themeTint="BF"/>
          <w:sz w:val="20"/>
          <w:szCs w:val="20"/>
        </w:rPr>
        <w:t>itul, m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eno 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priezvisko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..................................................................................</w:t>
      </w:r>
    </w:p>
    <w:p w14:paraId="51729619" w14:textId="77777777" w:rsidR="00EC3AD2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3F522E9" w14:textId="77777777" w:rsidR="00F6302F" w:rsidRPr="00CF708D" w:rsidRDefault="00B51CB7" w:rsidP="00F630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Poučenie dotknutá osoba prevzala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dňa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E4918B6" w14:textId="77777777" w:rsidR="00161EE7" w:rsidRPr="00CF708D" w:rsidRDefault="00F6302F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>DD.MM.YYYY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3545F6AE" w14:textId="77777777" w:rsidR="00EC3AD2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8152EA7" w14:textId="77777777" w:rsidR="00161EE7" w:rsidRPr="00CF708D" w:rsidRDefault="00161EE7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Podpis</w:t>
      </w:r>
      <w:r w:rsidR="00EC3AD2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dotknutej osoby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............................................................................................................................</w:t>
      </w:r>
    </w:p>
    <w:sectPr w:rsidR="00161EE7" w:rsidRPr="00CF708D" w:rsidSect="00744E49">
      <w:headerReference w:type="default" r:id="rId9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DC41" w14:textId="77777777" w:rsidR="00E25D92" w:rsidRDefault="00E25D92" w:rsidP="009D3179">
      <w:pPr>
        <w:spacing w:after="0" w:line="240" w:lineRule="auto"/>
      </w:pPr>
      <w:r>
        <w:separator/>
      </w:r>
    </w:p>
  </w:endnote>
  <w:endnote w:type="continuationSeparator" w:id="0">
    <w:p w14:paraId="7AA2AED1" w14:textId="77777777" w:rsidR="00E25D92" w:rsidRDefault="00E25D92" w:rsidP="009D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23BB" w14:textId="77777777" w:rsidR="00E25D92" w:rsidRDefault="00E25D92" w:rsidP="009D3179">
      <w:pPr>
        <w:spacing w:after="0" w:line="240" w:lineRule="auto"/>
      </w:pPr>
      <w:r>
        <w:separator/>
      </w:r>
    </w:p>
  </w:footnote>
  <w:footnote w:type="continuationSeparator" w:id="0">
    <w:p w14:paraId="5377761E" w14:textId="77777777" w:rsidR="00E25D92" w:rsidRDefault="00E25D92" w:rsidP="009D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02E4" w14:textId="77777777" w:rsidR="00035F7B" w:rsidRDefault="00035F7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6C3EFC5" wp14:editId="05D248F6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976620" cy="1448435"/>
          <wp:effectExtent l="0" t="0" r="0" b="0"/>
          <wp:wrapSquare wrapText="bothSides"/>
          <wp:docPr id="4" name="Obrázok 5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aps w:val="0"/>
        <w:smallCaps w:val="0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5D7D41"/>
    <w:multiLevelType w:val="hybridMultilevel"/>
    <w:tmpl w:val="C73A8804"/>
    <w:lvl w:ilvl="0" w:tplc="F356C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790D"/>
    <w:multiLevelType w:val="hybridMultilevel"/>
    <w:tmpl w:val="4760843E"/>
    <w:lvl w:ilvl="0" w:tplc="3F368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63C0"/>
    <w:multiLevelType w:val="hybridMultilevel"/>
    <w:tmpl w:val="6CEC2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276A"/>
    <w:multiLevelType w:val="hybridMultilevel"/>
    <w:tmpl w:val="5DACEA24"/>
    <w:lvl w:ilvl="0" w:tplc="CB4A71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79"/>
    <w:rsid w:val="00022402"/>
    <w:rsid w:val="00035F7B"/>
    <w:rsid w:val="00044824"/>
    <w:rsid w:val="000637C3"/>
    <w:rsid w:val="000D1F15"/>
    <w:rsid w:val="00107008"/>
    <w:rsid w:val="0015068F"/>
    <w:rsid w:val="00161EE7"/>
    <w:rsid w:val="001E71B9"/>
    <w:rsid w:val="00241D77"/>
    <w:rsid w:val="00283557"/>
    <w:rsid w:val="002F2A76"/>
    <w:rsid w:val="002F560C"/>
    <w:rsid w:val="00314617"/>
    <w:rsid w:val="0034667B"/>
    <w:rsid w:val="00383026"/>
    <w:rsid w:val="003E562D"/>
    <w:rsid w:val="00431A9D"/>
    <w:rsid w:val="004673BF"/>
    <w:rsid w:val="004C04B3"/>
    <w:rsid w:val="004C4441"/>
    <w:rsid w:val="00546E65"/>
    <w:rsid w:val="005650C2"/>
    <w:rsid w:val="005C28F7"/>
    <w:rsid w:val="005C5561"/>
    <w:rsid w:val="005E5352"/>
    <w:rsid w:val="005E6A09"/>
    <w:rsid w:val="006056CF"/>
    <w:rsid w:val="00606970"/>
    <w:rsid w:val="006168E5"/>
    <w:rsid w:val="00640BF5"/>
    <w:rsid w:val="006477C5"/>
    <w:rsid w:val="00664126"/>
    <w:rsid w:val="006D2670"/>
    <w:rsid w:val="0071545A"/>
    <w:rsid w:val="0074161E"/>
    <w:rsid w:val="00744E49"/>
    <w:rsid w:val="007717C4"/>
    <w:rsid w:val="00777B22"/>
    <w:rsid w:val="007909B2"/>
    <w:rsid w:val="00791A13"/>
    <w:rsid w:val="007B4BBD"/>
    <w:rsid w:val="007C7E99"/>
    <w:rsid w:val="007D082B"/>
    <w:rsid w:val="007F1046"/>
    <w:rsid w:val="00843DF1"/>
    <w:rsid w:val="008510A7"/>
    <w:rsid w:val="008905A0"/>
    <w:rsid w:val="008A13F8"/>
    <w:rsid w:val="008D13A8"/>
    <w:rsid w:val="00901AEB"/>
    <w:rsid w:val="00905AAD"/>
    <w:rsid w:val="009A26A1"/>
    <w:rsid w:val="009A410F"/>
    <w:rsid w:val="009D3179"/>
    <w:rsid w:val="009E3726"/>
    <w:rsid w:val="00A17C5F"/>
    <w:rsid w:val="00A205EE"/>
    <w:rsid w:val="00A34552"/>
    <w:rsid w:val="00B03374"/>
    <w:rsid w:val="00B3726A"/>
    <w:rsid w:val="00B51BEC"/>
    <w:rsid w:val="00B51CB7"/>
    <w:rsid w:val="00B75E3C"/>
    <w:rsid w:val="00B85D61"/>
    <w:rsid w:val="00BA0B16"/>
    <w:rsid w:val="00C446AA"/>
    <w:rsid w:val="00CC22A5"/>
    <w:rsid w:val="00CC5733"/>
    <w:rsid w:val="00CF31DE"/>
    <w:rsid w:val="00CF708D"/>
    <w:rsid w:val="00D14CD8"/>
    <w:rsid w:val="00D17DEB"/>
    <w:rsid w:val="00DA68C5"/>
    <w:rsid w:val="00E25D92"/>
    <w:rsid w:val="00E262DD"/>
    <w:rsid w:val="00E640F7"/>
    <w:rsid w:val="00EC3AD2"/>
    <w:rsid w:val="00EF1120"/>
    <w:rsid w:val="00F01BE1"/>
    <w:rsid w:val="00F03DAB"/>
    <w:rsid w:val="00F3469E"/>
    <w:rsid w:val="00F60C63"/>
    <w:rsid w:val="00F6302F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7699E"/>
  <w15:chartTrackingRefBased/>
  <w15:docId w15:val="{16D1CDB1-A890-4F86-ACB1-FA05801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1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317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31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31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317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5F7B"/>
  </w:style>
  <w:style w:type="paragraph" w:styleId="Pta">
    <w:name w:val="footer"/>
    <w:basedOn w:val="Normlny"/>
    <w:link w:val="Pt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F7B"/>
  </w:style>
  <w:style w:type="paragraph" w:styleId="Textbubliny">
    <w:name w:val="Balloon Text"/>
    <w:basedOn w:val="Normlny"/>
    <w:link w:val="TextbublinyChar"/>
    <w:uiPriority w:val="99"/>
    <w:semiHidden/>
    <w:unhideWhenUsed/>
    <w:rsid w:val="00CC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A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1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C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C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B51CB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44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ia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0D50-D61A-4ECB-ABB3-E591A21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4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Slamená Katarína</cp:lastModifiedBy>
  <cp:revision>2</cp:revision>
  <dcterms:created xsi:type="dcterms:W3CDTF">2023-10-25T11:50:00Z</dcterms:created>
  <dcterms:modified xsi:type="dcterms:W3CDTF">2023-10-25T11:50:00Z</dcterms:modified>
</cp:coreProperties>
</file>